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F44" w:rsidRDefault="006C7F44" w:rsidP="006C7F44">
      <w:pPr>
        <w:jc w:val="center"/>
        <w:rPr>
          <w:rFonts w:ascii="Times New Roman" w:hAnsi="Times New Roman" w:cs="Times New Roman"/>
          <w:b/>
          <w:sz w:val="44"/>
        </w:rPr>
      </w:pPr>
      <w:r>
        <w:rPr>
          <w:noProof/>
          <w:lang w:eastAsia="en-GB"/>
        </w:rPr>
        <w:drawing>
          <wp:inline distT="0" distB="0" distL="0" distR="0" wp14:anchorId="67D7480C">
            <wp:extent cx="2493645" cy="103632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93645" cy="1036320"/>
                    </a:xfrm>
                    <a:prstGeom prst="rect">
                      <a:avLst/>
                    </a:prstGeom>
                    <a:noFill/>
                  </pic:spPr>
                </pic:pic>
              </a:graphicData>
            </a:graphic>
          </wp:inline>
        </w:drawing>
      </w:r>
    </w:p>
    <w:p w:rsidR="00652454" w:rsidRDefault="006C7F44" w:rsidP="006C7F44">
      <w:pPr>
        <w:jc w:val="center"/>
        <w:rPr>
          <w:rFonts w:ascii="Times New Roman" w:hAnsi="Times New Roman" w:cs="Times New Roman"/>
          <w:b/>
          <w:sz w:val="44"/>
        </w:rPr>
      </w:pPr>
      <w:r w:rsidRPr="006C7F44">
        <w:rPr>
          <w:rFonts w:ascii="Times New Roman" w:hAnsi="Times New Roman" w:cs="Times New Roman"/>
          <w:b/>
          <w:sz w:val="44"/>
        </w:rPr>
        <w:t>NEWSLETTER</w:t>
      </w:r>
    </w:p>
    <w:p w:rsidR="00C0586E" w:rsidRPr="000B644E" w:rsidRDefault="00C0586E" w:rsidP="00C0586E">
      <w:pPr>
        <w:jc w:val="both"/>
        <w:rPr>
          <w:rFonts w:ascii="Times New Roman" w:hAnsi="Times New Roman" w:cs="Times New Roman"/>
          <w:b/>
        </w:rPr>
      </w:pPr>
      <w:r w:rsidRPr="000B644E">
        <w:rPr>
          <w:rFonts w:ascii="Times New Roman" w:hAnsi="Times New Roman" w:cs="Times New Roman"/>
          <w:b/>
        </w:rPr>
        <w:t>THE COMMON GROUND</w:t>
      </w:r>
    </w:p>
    <w:p w:rsidR="00C0586E" w:rsidRPr="00C0586E" w:rsidRDefault="00C0586E" w:rsidP="00C0586E">
      <w:pPr>
        <w:jc w:val="both"/>
        <w:rPr>
          <w:rFonts w:ascii="Times New Roman" w:hAnsi="Times New Roman" w:cs="Times New Roman"/>
        </w:rPr>
      </w:pPr>
      <w:r w:rsidRPr="00C0586E">
        <w:rPr>
          <w:rFonts w:ascii="Times New Roman" w:hAnsi="Times New Roman" w:cs="Times New Roman"/>
        </w:rPr>
        <w:t>Policy, Equity, and the Future of Soci</w:t>
      </w:r>
      <w:r w:rsidR="000B644E">
        <w:rPr>
          <w:rFonts w:ascii="Times New Roman" w:hAnsi="Times New Roman" w:cs="Times New Roman"/>
        </w:rPr>
        <w:t>al Cohesion</w:t>
      </w:r>
    </w:p>
    <w:p w:rsidR="00C0586E" w:rsidRPr="000B644E" w:rsidRDefault="00C0586E" w:rsidP="00C0586E">
      <w:pPr>
        <w:jc w:val="both"/>
        <w:rPr>
          <w:rFonts w:ascii="Times New Roman" w:hAnsi="Times New Roman" w:cs="Times New Roman"/>
          <w:b/>
        </w:rPr>
      </w:pPr>
      <w:r w:rsidRPr="000B644E">
        <w:rPr>
          <w:rFonts w:ascii="Times New Roman" w:hAnsi="Times New Roman" w:cs="Times New Roman"/>
          <w:b/>
        </w:rPr>
        <w:t>1. THE BIG PICTURE: WHY SOCIAL COHESION MATTERS NOW</w:t>
      </w:r>
    </w:p>
    <w:p w:rsidR="00C0586E" w:rsidRPr="00C0586E" w:rsidRDefault="00C0586E" w:rsidP="00C0586E">
      <w:pPr>
        <w:jc w:val="both"/>
        <w:rPr>
          <w:rFonts w:ascii="Times New Roman" w:hAnsi="Times New Roman" w:cs="Times New Roman"/>
        </w:rPr>
      </w:pPr>
      <w:r w:rsidRPr="00C0586E">
        <w:rPr>
          <w:rFonts w:ascii="Times New Roman" w:hAnsi="Times New Roman" w:cs="Times New Roman"/>
        </w:rPr>
        <w:t>Affirmative action is rarely just about numbers, quotas, or admissions statistics. At its core, it is a tool that directly shapes how different groups in society perceive, trust, and interact with one another. When equity policies are misunderstood, friction builds; when they are designed thoughtfully, they build bridges.</w:t>
      </w:r>
    </w:p>
    <w:p w:rsidR="00EF194E" w:rsidRDefault="00C0586E" w:rsidP="00C0586E">
      <w:pPr>
        <w:jc w:val="both"/>
        <w:rPr>
          <w:rFonts w:ascii="Times New Roman" w:hAnsi="Times New Roman" w:cs="Times New Roman"/>
        </w:rPr>
      </w:pPr>
      <w:r w:rsidRPr="00C0586E">
        <w:rPr>
          <w:rFonts w:ascii="Times New Roman" w:hAnsi="Times New Roman" w:cs="Times New Roman"/>
        </w:rPr>
        <w:t>This edition explores the central ques</w:t>
      </w:r>
      <w:r w:rsidR="000B644E">
        <w:rPr>
          <w:rFonts w:ascii="Times New Roman" w:hAnsi="Times New Roman" w:cs="Times New Roman"/>
        </w:rPr>
        <w:t xml:space="preserve">tion of my capstone research: </w:t>
      </w:r>
      <w:r w:rsidRPr="00C0586E">
        <w:rPr>
          <w:rFonts w:ascii="Times New Roman" w:hAnsi="Times New Roman" w:cs="Times New Roman"/>
        </w:rPr>
        <w:t>How do targeted affirmative action policies actually impact social cohesion, intergroup trust, and shared civic identi</w:t>
      </w:r>
      <w:r w:rsidR="000B644E">
        <w:rPr>
          <w:rFonts w:ascii="Times New Roman" w:hAnsi="Times New Roman" w:cs="Times New Roman"/>
        </w:rPr>
        <w:t>ty?</w:t>
      </w:r>
    </w:p>
    <w:p w:rsidR="00EF194E" w:rsidRPr="00C0586E" w:rsidRDefault="00EF194E" w:rsidP="00C0586E">
      <w:pPr>
        <w:jc w:val="both"/>
        <w:rPr>
          <w:rFonts w:ascii="Times New Roman" w:hAnsi="Times New Roman" w:cs="Times New Roman"/>
        </w:rPr>
      </w:pPr>
      <w:r>
        <w:rPr>
          <w:rFonts w:ascii="Times New Roman" w:hAnsi="Times New Roman" w:cs="Times New Roman"/>
          <w:noProof/>
          <w:lang w:eastAsia="en-GB"/>
        </w:rPr>
        <w:drawing>
          <wp:inline distT="0" distB="0" distL="0" distR="0">
            <wp:extent cx="5731510" cy="164782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7-22 at 12.54.27 PM.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1647825"/>
                    </a:xfrm>
                    <a:prstGeom prst="rect">
                      <a:avLst/>
                    </a:prstGeom>
                  </pic:spPr>
                </pic:pic>
              </a:graphicData>
            </a:graphic>
          </wp:inline>
        </w:drawing>
      </w:r>
    </w:p>
    <w:p w:rsidR="00083A45" w:rsidRDefault="00083A45" w:rsidP="00C0586E">
      <w:pPr>
        <w:jc w:val="both"/>
        <w:rPr>
          <w:rFonts w:ascii="Times New Roman" w:hAnsi="Times New Roman" w:cs="Times New Roman"/>
          <w:b/>
        </w:rPr>
      </w:pPr>
    </w:p>
    <w:p w:rsidR="00C0586E" w:rsidRPr="008719A0" w:rsidRDefault="00C0586E" w:rsidP="00C0586E">
      <w:pPr>
        <w:jc w:val="both"/>
        <w:rPr>
          <w:rFonts w:ascii="Times New Roman" w:hAnsi="Times New Roman" w:cs="Times New Roman"/>
          <w:b/>
        </w:rPr>
      </w:pPr>
      <w:bookmarkStart w:id="0" w:name="_GoBack"/>
      <w:bookmarkEnd w:id="0"/>
      <w:r w:rsidRPr="008719A0">
        <w:rPr>
          <w:rFonts w:ascii="Times New Roman" w:hAnsi="Times New Roman" w:cs="Times New Roman"/>
          <w:b/>
        </w:rPr>
        <w:t>2. THE CORE ARGUMENT: BEYOND REDISTRIBUTION</w:t>
      </w:r>
    </w:p>
    <w:p w:rsidR="00C0586E" w:rsidRPr="00C0586E" w:rsidRDefault="00C0586E" w:rsidP="00C0586E">
      <w:pPr>
        <w:jc w:val="both"/>
        <w:rPr>
          <w:rFonts w:ascii="Times New Roman" w:hAnsi="Times New Roman" w:cs="Times New Roman"/>
        </w:rPr>
      </w:pPr>
      <w:r w:rsidRPr="00C0586E">
        <w:rPr>
          <w:rFonts w:ascii="Times New Roman" w:hAnsi="Times New Roman" w:cs="Times New Roman"/>
        </w:rPr>
        <w:t>Traditional debates often treat affirmative action purely as a mechanism for economic or educational redistribution. However, the data poin</w:t>
      </w:r>
      <w:r w:rsidR="008719A0">
        <w:rPr>
          <w:rFonts w:ascii="Times New Roman" w:hAnsi="Times New Roman" w:cs="Times New Roman"/>
        </w:rPr>
        <w:t>ts to a deeper human outcome: social cohesion</w:t>
      </w:r>
      <w:r w:rsidRPr="00C0586E">
        <w:rPr>
          <w:rFonts w:ascii="Times New Roman" w:hAnsi="Times New Roman" w:cs="Times New Roman"/>
        </w:rPr>
        <w:t>.</w:t>
      </w:r>
    </w:p>
    <w:p w:rsidR="00C0586E" w:rsidRPr="00C0586E" w:rsidRDefault="00C0586E" w:rsidP="00C0586E">
      <w:pPr>
        <w:jc w:val="both"/>
        <w:rPr>
          <w:rFonts w:ascii="Times New Roman" w:hAnsi="Times New Roman" w:cs="Times New Roman"/>
        </w:rPr>
      </w:pPr>
      <w:r w:rsidRPr="00C0586E">
        <w:rPr>
          <w:rFonts w:ascii="Times New Roman" w:hAnsi="Times New Roman" w:cs="Times New Roman"/>
        </w:rPr>
        <w:t>Here are three key takeaways from the research:</w:t>
      </w:r>
    </w:p>
    <w:p w:rsidR="00C0586E" w:rsidRPr="00083A45" w:rsidRDefault="008719A0" w:rsidP="00083A45">
      <w:pPr>
        <w:pStyle w:val="ListParagraph"/>
        <w:numPr>
          <w:ilvl w:val="0"/>
          <w:numId w:val="3"/>
        </w:numPr>
        <w:jc w:val="both"/>
        <w:rPr>
          <w:rFonts w:ascii="Times New Roman" w:hAnsi="Times New Roman" w:cs="Times New Roman"/>
        </w:rPr>
      </w:pPr>
      <w:r w:rsidRPr="00083A45">
        <w:rPr>
          <w:rFonts w:ascii="Times New Roman" w:hAnsi="Times New Roman" w:cs="Times New Roman"/>
        </w:rPr>
        <w:t>Contact Theory in Action:</w:t>
      </w:r>
      <w:r w:rsidR="00C0586E" w:rsidRPr="00083A45">
        <w:rPr>
          <w:rFonts w:ascii="Times New Roman" w:hAnsi="Times New Roman" w:cs="Times New Roman"/>
        </w:rPr>
        <w:t xml:space="preserve"> Bringing diverse groups into shared institutional spaces creates meaningful intergroup contact, which actively reduces bias over time.</w:t>
      </w:r>
    </w:p>
    <w:p w:rsidR="00C0586E" w:rsidRPr="00083A45" w:rsidRDefault="008719A0" w:rsidP="00083A45">
      <w:pPr>
        <w:pStyle w:val="ListParagraph"/>
        <w:numPr>
          <w:ilvl w:val="0"/>
          <w:numId w:val="3"/>
        </w:numPr>
        <w:jc w:val="both"/>
        <w:rPr>
          <w:rFonts w:ascii="Times New Roman" w:hAnsi="Times New Roman" w:cs="Times New Roman"/>
        </w:rPr>
      </w:pPr>
      <w:r w:rsidRPr="00083A45">
        <w:rPr>
          <w:rFonts w:ascii="Times New Roman" w:hAnsi="Times New Roman" w:cs="Times New Roman"/>
        </w:rPr>
        <w:t>Perceptions of Fairness:</w:t>
      </w:r>
      <w:r w:rsidR="00C0586E" w:rsidRPr="00083A45">
        <w:rPr>
          <w:rFonts w:ascii="Times New Roman" w:hAnsi="Times New Roman" w:cs="Times New Roman"/>
        </w:rPr>
        <w:t xml:space="preserve"> Social cohesion thrives when people believe the system offers genuine opportunity. Clarifying how policy operates builds structural trust.</w:t>
      </w:r>
    </w:p>
    <w:p w:rsidR="00C0586E" w:rsidRPr="00083A45" w:rsidRDefault="008719A0" w:rsidP="00083A45">
      <w:pPr>
        <w:pStyle w:val="ListParagraph"/>
        <w:numPr>
          <w:ilvl w:val="0"/>
          <w:numId w:val="3"/>
        </w:numPr>
        <w:jc w:val="both"/>
        <w:rPr>
          <w:rFonts w:ascii="Times New Roman" w:hAnsi="Times New Roman" w:cs="Times New Roman"/>
        </w:rPr>
      </w:pPr>
      <w:r w:rsidRPr="00083A45">
        <w:rPr>
          <w:rFonts w:ascii="Times New Roman" w:hAnsi="Times New Roman" w:cs="Times New Roman"/>
        </w:rPr>
        <w:t>Long-Term Civic Stability:</w:t>
      </w:r>
      <w:r w:rsidR="00C0586E" w:rsidRPr="00083A45">
        <w:rPr>
          <w:rFonts w:ascii="Times New Roman" w:hAnsi="Times New Roman" w:cs="Times New Roman"/>
        </w:rPr>
        <w:t xml:space="preserve"> Diverse leadership pipelines foster broader trust in public institutions, benefiting society as a whole rather than just specific groups.</w:t>
      </w:r>
    </w:p>
    <w:p w:rsidR="00083A45" w:rsidRDefault="00083A45" w:rsidP="00C0586E">
      <w:pPr>
        <w:jc w:val="both"/>
        <w:rPr>
          <w:rFonts w:ascii="Times New Roman" w:hAnsi="Times New Roman" w:cs="Times New Roman"/>
        </w:rPr>
      </w:pPr>
      <w:r>
        <w:rPr>
          <w:rFonts w:ascii="Times New Roman" w:hAnsi="Times New Roman" w:cs="Times New Roman"/>
          <w:noProof/>
          <w:lang w:eastAsia="en-GB"/>
        </w:rPr>
        <w:drawing>
          <wp:inline distT="0" distB="0" distL="0" distR="0" wp14:anchorId="75A5006A" wp14:editId="560DCD94">
            <wp:extent cx="5731510" cy="141922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7-22 at 12.54.27 PM (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419225"/>
                    </a:xfrm>
                    <a:prstGeom prst="rect">
                      <a:avLst/>
                    </a:prstGeom>
                  </pic:spPr>
                </pic:pic>
              </a:graphicData>
            </a:graphic>
          </wp:inline>
        </w:drawing>
      </w:r>
    </w:p>
    <w:p w:rsidR="00083A45" w:rsidRDefault="00083A45" w:rsidP="00C0586E">
      <w:pPr>
        <w:jc w:val="both"/>
        <w:rPr>
          <w:rFonts w:ascii="Times New Roman" w:hAnsi="Times New Roman" w:cs="Times New Roman"/>
        </w:rPr>
      </w:pPr>
    </w:p>
    <w:p w:rsidR="00083A45" w:rsidRPr="00C0586E" w:rsidRDefault="00083A45" w:rsidP="00C0586E">
      <w:pPr>
        <w:jc w:val="both"/>
        <w:rPr>
          <w:rFonts w:ascii="Times New Roman" w:hAnsi="Times New Roman" w:cs="Times New Roman"/>
        </w:rPr>
      </w:pPr>
    </w:p>
    <w:p w:rsidR="00C0586E" w:rsidRPr="008719A0" w:rsidRDefault="00C0586E" w:rsidP="00C0586E">
      <w:pPr>
        <w:jc w:val="both"/>
        <w:rPr>
          <w:rFonts w:ascii="Times New Roman" w:hAnsi="Times New Roman" w:cs="Times New Roman"/>
          <w:b/>
        </w:rPr>
      </w:pPr>
      <w:r w:rsidRPr="008719A0">
        <w:rPr>
          <w:rFonts w:ascii="Times New Roman" w:hAnsi="Times New Roman" w:cs="Times New Roman"/>
          <w:b/>
        </w:rPr>
        <w:t>3. MYTH VS. REALITY: ADDRESSING THE FRICTION</w:t>
      </w:r>
    </w:p>
    <w:p w:rsidR="00C0586E" w:rsidRPr="00C0586E" w:rsidRDefault="008719A0" w:rsidP="00C0586E">
      <w:pPr>
        <w:jc w:val="both"/>
        <w:rPr>
          <w:rFonts w:ascii="Times New Roman" w:hAnsi="Times New Roman" w:cs="Times New Roman"/>
        </w:rPr>
      </w:pPr>
      <w:r w:rsidRPr="00083A45">
        <w:rPr>
          <w:rFonts w:ascii="Times New Roman" w:hAnsi="Times New Roman" w:cs="Times New Roman"/>
          <w:b/>
        </w:rPr>
        <w:t>MYTH:</w:t>
      </w:r>
      <w:r w:rsidR="00C0586E" w:rsidRPr="00C0586E">
        <w:rPr>
          <w:rFonts w:ascii="Times New Roman" w:hAnsi="Times New Roman" w:cs="Times New Roman"/>
        </w:rPr>
        <w:t xml:space="preserve"> Affirmative action inherently divides communities and reduces trust between groups.</w:t>
      </w:r>
    </w:p>
    <w:p w:rsidR="00083A45" w:rsidRDefault="008719A0" w:rsidP="00C0586E">
      <w:pPr>
        <w:jc w:val="both"/>
        <w:rPr>
          <w:rFonts w:ascii="Times New Roman" w:hAnsi="Times New Roman" w:cs="Times New Roman"/>
        </w:rPr>
      </w:pPr>
      <w:r w:rsidRPr="00083A45">
        <w:rPr>
          <w:rFonts w:ascii="Times New Roman" w:hAnsi="Times New Roman" w:cs="Times New Roman"/>
          <w:b/>
        </w:rPr>
        <w:t>REALITY:</w:t>
      </w:r>
      <w:r w:rsidR="00C0586E" w:rsidRPr="00C0586E">
        <w:rPr>
          <w:rFonts w:ascii="Times New Roman" w:hAnsi="Times New Roman" w:cs="Times New Roman"/>
        </w:rPr>
        <w:t xml:space="preserve"> My research demonstrates that perceived tension often stems from miscommunication around how policies function. When policy frameworks are transparent, objective, and paired with strong integration programs, intergroup trust and cooperation actually increase over time.</w:t>
      </w:r>
    </w:p>
    <w:p w:rsidR="00083A45" w:rsidRPr="00C0586E" w:rsidRDefault="00083A45" w:rsidP="00C0586E">
      <w:pPr>
        <w:jc w:val="both"/>
        <w:rPr>
          <w:rFonts w:ascii="Times New Roman" w:hAnsi="Times New Roman" w:cs="Times New Roman"/>
        </w:rPr>
      </w:pPr>
      <w:r>
        <w:rPr>
          <w:rFonts w:ascii="Times New Roman" w:hAnsi="Times New Roman" w:cs="Times New Roman"/>
          <w:noProof/>
          <w:lang w:eastAsia="en-GB"/>
        </w:rPr>
        <w:drawing>
          <wp:inline distT="0" distB="0" distL="0" distR="0">
            <wp:extent cx="5731510" cy="1552575"/>
            <wp:effectExtent l="0" t="0" r="25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6-07-22 at 12.54.28 P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552575"/>
                    </a:xfrm>
                    <a:prstGeom prst="rect">
                      <a:avLst/>
                    </a:prstGeom>
                  </pic:spPr>
                </pic:pic>
              </a:graphicData>
            </a:graphic>
          </wp:inline>
        </w:drawing>
      </w:r>
    </w:p>
    <w:p w:rsidR="00C0586E" w:rsidRPr="008719A0" w:rsidRDefault="00C0586E" w:rsidP="00C0586E">
      <w:pPr>
        <w:jc w:val="both"/>
        <w:rPr>
          <w:rFonts w:ascii="Times New Roman" w:hAnsi="Times New Roman" w:cs="Times New Roman"/>
          <w:b/>
        </w:rPr>
      </w:pPr>
      <w:r w:rsidRPr="008719A0">
        <w:rPr>
          <w:rFonts w:ascii="Times New Roman" w:hAnsi="Times New Roman" w:cs="Times New Roman"/>
          <w:b/>
        </w:rPr>
        <w:t>4. CASE IN POINT: POLICY IN PRACTICE</w:t>
      </w:r>
    </w:p>
    <w:p w:rsidR="00C0586E" w:rsidRPr="00C0586E" w:rsidRDefault="00C0586E" w:rsidP="00C0586E">
      <w:pPr>
        <w:jc w:val="both"/>
        <w:rPr>
          <w:rFonts w:ascii="Times New Roman" w:hAnsi="Times New Roman" w:cs="Times New Roman"/>
        </w:rPr>
      </w:pPr>
      <w:r w:rsidRPr="00C0586E">
        <w:rPr>
          <w:rFonts w:ascii="Times New Roman" w:hAnsi="Times New Roman" w:cs="Times New Roman"/>
        </w:rPr>
        <w:t>Consider the impact of institutional integration. In environments where affirmative action policies were paired with structured intergroup dialogue programs, students and employees reported a significant increase in cross-group empathy and shared identity.</w:t>
      </w:r>
    </w:p>
    <w:p w:rsidR="00C0586E" w:rsidRPr="00C0586E" w:rsidRDefault="00C0586E" w:rsidP="00C0586E">
      <w:pPr>
        <w:jc w:val="both"/>
        <w:rPr>
          <w:rFonts w:ascii="Times New Roman" w:hAnsi="Times New Roman" w:cs="Times New Roman"/>
        </w:rPr>
      </w:pPr>
      <w:r w:rsidRPr="00C0586E">
        <w:rPr>
          <w:rFonts w:ascii="Times New Roman" w:hAnsi="Times New Roman" w:cs="Times New Roman"/>
        </w:rPr>
        <w:t>Inclusion isn’t just about who gets through the door—it’s about how institutions build community once everyone is inside.</w:t>
      </w:r>
    </w:p>
    <w:p w:rsidR="00C0586E" w:rsidRPr="008719A0" w:rsidRDefault="003A335F" w:rsidP="00C0586E">
      <w:pPr>
        <w:jc w:val="both"/>
        <w:rPr>
          <w:rFonts w:ascii="Times New Roman" w:hAnsi="Times New Roman" w:cs="Times New Roman"/>
          <w:b/>
        </w:rPr>
      </w:pPr>
      <w:r>
        <w:rPr>
          <w:rFonts w:ascii="Times New Roman" w:hAnsi="Times New Roman" w:cs="Times New Roman"/>
          <w:b/>
        </w:rPr>
        <w:t>5. THE "SO WHAT?</w:t>
      </w:r>
      <w:r w:rsidR="00C0586E" w:rsidRPr="008719A0">
        <w:rPr>
          <w:rFonts w:ascii="Times New Roman" w:hAnsi="Times New Roman" w:cs="Times New Roman"/>
          <w:b/>
        </w:rPr>
        <w:t xml:space="preserve"> RECOMMENDATIONS FOR THE FUTURE</w:t>
      </w:r>
    </w:p>
    <w:p w:rsidR="00C0586E" w:rsidRPr="00C0586E" w:rsidRDefault="00C0586E" w:rsidP="00C0586E">
      <w:pPr>
        <w:jc w:val="both"/>
        <w:rPr>
          <w:rFonts w:ascii="Times New Roman" w:hAnsi="Times New Roman" w:cs="Times New Roman"/>
        </w:rPr>
      </w:pPr>
      <w:r w:rsidRPr="00C0586E">
        <w:rPr>
          <w:rFonts w:ascii="Times New Roman" w:hAnsi="Times New Roman" w:cs="Times New Roman"/>
        </w:rPr>
        <w:t>To leverage policy as a tool for unity rather than division, leaders should focus on three strategic pillars:</w:t>
      </w:r>
    </w:p>
    <w:p w:rsidR="00C0586E" w:rsidRPr="00513406" w:rsidRDefault="003A335F" w:rsidP="00513406">
      <w:pPr>
        <w:pStyle w:val="ListParagraph"/>
        <w:numPr>
          <w:ilvl w:val="0"/>
          <w:numId w:val="2"/>
        </w:numPr>
        <w:jc w:val="both"/>
        <w:rPr>
          <w:rFonts w:ascii="Times New Roman" w:hAnsi="Times New Roman" w:cs="Times New Roman"/>
        </w:rPr>
      </w:pPr>
      <w:r w:rsidRPr="00513406">
        <w:rPr>
          <w:rFonts w:ascii="Times New Roman" w:hAnsi="Times New Roman" w:cs="Times New Roman"/>
        </w:rPr>
        <w:t>Prioritize Transparency:</w:t>
      </w:r>
      <w:r w:rsidR="00C0586E" w:rsidRPr="00513406">
        <w:rPr>
          <w:rFonts w:ascii="Times New Roman" w:hAnsi="Times New Roman" w:cs="Times New Roman"/>
        </w:rPr>
        <w:t xml:space="preserve"> Clear, public criteria for policy design reduce resentment and build institutional trust.</w:t>
      </w:r>
    </w:p>
    <w:p w:rsidR="00C0586E" w:rsidRPr="00513406" w:rsidRDefault="00C0586E" w:rsidP="00513406">
      <w:pPr>
        <w:pStyle w:val="ListParagraph"/>
        <w:numPr>
          <w:ilvl w:val="0"/>
          <w:numId w:val="2"/>
        </w:numPr>
        <w:jc w:val="both"/>
        <w:rPr>
          <w:rFonts w:ascii="Times New Roman" w:hAnsi="Times New Roman" w:cs="Times New Roman"/>
        </w:rPr>
      </w:pPr>
      <w:r w:rsidRPr="00513406">
        <w:rPr>
          <w:rFonts w:ascii="Times New Roman" w:hAnsi="Times New Roman" w:cs="Times New Roman"/>
        </w:rPr>
        <w:t>Pair Access with Suppor</w:t>
      </w:r>
      <w:r w:rsidR="003A335F" w:rsidRPr="00513406">
        <w:rPr>
          <w:rFonts w:ascii="Times New Roman" w:hAnsi="Times New Roman" w:cs="Times New Roman"/>
        </w:rPr>
        <w:t>t:</w:t>
      </w:r>
      <w:r w:rsidRPr="00513406">
        <w:rPr>
          <w:rFonts w:ascii="Times New Roman" w:hAnsi="Times New Roman" w:cs="Times New Roman"/>
        </w:rPr>
        <w:t xml:space="preserve"> Getting diverse groups into the same room is step one; fostering collaborative spaces is where social cohesion actually happens.</w:t>
      </w:r>
    </w:p>
    <w:p w:rsidR="00C0586E" w:rsidRPr="00513406" w:rsidRDefault="003A335F" w:rsidP="00513406">
      <w:pPr>
        <w:pStyle w:val="ListParagraph"/>
        <w:numPr>
          <w:ilvl w:val="0"/>
          <w:numId w:val="2"/>
        </w:numPr>
        <w:jc w:val="both"/>
        <w:rPr>
          <w:rFonts w:ascii="Times New Roman" w:hAnsi="Times New Roman" w:cs="Times New Roman"/>
        </w:rPr>
      </w:pPr>
      <w:r w:rsidRPr="00513406">
        <w:rPr>
          <w:rFonts w:ascii="Times New Roman" w:hAnsi="Times New Roman" w:cs="Times New Roman"/>
        </w:rPr>
        <w:t>Measure Cohesion directly:</w:t>
      </w:r>
      <w:r w:rsidR="00C0586E" w:rsidRPr="00513406">
        <w:rPr>
          <w:rFonts w:ascii="Times New Roman" w:hAnsi="Times New Roman" w:cs="Times New Roman"/>
        </w:rPr>
        <w:t xml:space="preserve"> Track intergroup trust, belonging, and collaboration as primary metrics of policy success, not just headcount.</w:t>
      </w:r>
    </w:p>
    <w:p w:rsidR="00513406" w:rsidRDefault="00513406" w:rsidP="003A335F">
      <w:pPr>
        <w:jc w:val="both"/>
        <w:rPr>
          <w:rFonts w:ascii="Times New Roman" w:hAnsi="Times New Roman" w:cs="Times New Roman"/>
        </w:rPr>
      </w:pPr>
    </w:p>
    <w:p w:rsidR="00513406" w:rsidRDefault="00513406" w:rsidP="003A335F">
      <w:pPr>
        <w:jc w:val="both"/>
        <w:rPr>
          <w:rFonts w:ascii="Times New Roman" w:hAnsi="Times New Roman" w:cs="Times New Roman"/>
        </w:rPr>
      </w:pPr>
    </w:p>
    <w:p w:rsidR="003A335F" w:rsidRDefault="003A335F" w:rsidP="003A335F">
      <w:pPr>
        <w:jc w:val="both"/>
        <w:rPr>
          <w:rFonts w:ascii="Times New Roman" w:hAnsi="Times New Roman" w:cs="Times New Roman"/>
        </w:rPr>
      </w:pPr>
      <w:r w:rsidRPr="00C0586E">
        <w:rPr>
          <w:rFonts w:ascii="Times New Roman" w:hAnsi="Times New Roman" w:cs="Times New Roman"/>
        </w:rPr>
        <w:t>Capstone Research on Social Cohesion &amp; Affirmative Action</w:t>
      </w:r>
    </w:p>
    <w:p w:rsidR="00C0586E" w:rsidRPr="00C0586E" w:rsidRDefault="003A335F" w:rsidP="00C0586E">
      <w:pPr>
        <w:jc w:val="both"/>
        <w:rPr>
          <w:rFonts w:ascii="Times New Roman" w:hAnsi="Times New Roman" w:cs="Times New Roman"/>
        </w:rPr>
      </w:pPr>
      <w:r>
        <w:rPr>
          <w:rFonts w:ascii="Times New Roman" w:hAnsi="Times New Roman" w:cs="Times New Roman"/>
        </w:rPr>
        <w:t>Research conducted by:</w:t>
      </w:r>
      <w:r w:rsidR="00C0586E" w:rsidRPr="00C0586E">
        <w:rPr>
          <w:rFonts w:ascii="Times New Roman" w:hAnsi="Times New Roman" w:cs="Times New Roman"/>
        </w:rPr>
        <w:t xml:space="preserve"> </w:t>
      </w:r>
      <w:r>
        <w:rPr>
          <w:rFonts w:ascii="Times New Roman" w:hAnsi="Times New Roman" w:cs="Times New Roman"/>
        </w:rPr>
        <w:t>Arafa Kadir</w:t>
      </w:r>
    </w:p>
    <w:p w:rsidR="003A335F" w:rsidRPr="00C0586E" w:rsidRDefault="003A335F" w:rsidP="00C0586E">
      <w:pPr>
        <w:jc w:val="both"/>
        <w:rPr>
          <w:rFonts w:ascii="Times New Roman" w:hAnsi="Times New Roman" w:cs="Times New Roman"/>
        </w:rPr>
      </w:pPr>
    </w:p>
    <w:p w:rsidR="00C0586E" w:rsidRPr="00C0586E" w:rsidRDefault="00C0586E" w:rsidP="00C0586E">
      <w:pPr>
        <w:jc w:val="both"/>
      </w:pPr>
    </w:p>
    <w:sectPr w:rsidR="00C0586E" w:rsidRPr="00C0586E" w:rsidSect="00083A45">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F50D5"/>
    <w:multiLevelType w:val="hybridMultilevel"/>
    <w:tmpl w:val="4DF07E08"/>
    <w:lvl w:ilvl="0" w:tplc="CBCE5C24">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2A5D7936"/>
    <w:multiLevelType w:val="hybridMultilevel"/>
    <w:tmpl w:val="E0CC811C"/>
    <w:lvl w:ilvl="0" w:tplc="CBCE5C24">
      <w:start w:val="1"/>
      <w:numFmt w:val="decimal"/>
      <w:lvlText w:val="%1."/>
      <w:lvlJc w:val="left"/>
      <w:pPr>
        <w:ind w:left="4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DC29B4"/>
    <w:multiLevelType w:val="hybridMultilevel"/>
    <w:tmpl w:val="575611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F44"/>
    <w:rsid w:val="00083A45"/>
    <w:rsid w:val="000B644E"/>
    <w:rsid w:val="003A335F"/>
    <w:rsid w:val="00513406"/>
    <w:rsid w:val="00652454"/>
    <w:rsid w:val="006C7F44"/>
    <w:rsid w:val="008719A0"/>
    <w:rsid w:val="00C0586E"/>
    <w:rsid w:val="00EF1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0BF63"/>
  <w15:chartTrackingRefBased/>
  <w15:docId w15:val="{418B1A3C-C939-46C1-8B53-CDDF7C622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4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Arafa Kadir</dc:creator>
  <cp:keywords/>
  <dc:description/>
  <cp:lastModifiedBy>Arafa Kadir</cp:lastModifiedBy>
  <cp:revision>4</cp:revision>
  <dcterms:created xsi:type="dcterms:W3CDTF">2026-07-22T09:13:00Z</dcterms:created>
  <dcterms:modified xsi:type="dcterms:W3CDTF">2026-07-22T10:04:00Z</dcterms:modified>
</cp:coreProperties>
</file>